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A04" w:rsidRPr="00603C29" w:rsidRDefault="00E57A04" w:rsidP="00E57A04">
      <w:pPr>
        <w:jc w:val="center"/>
        <w:rPr>
          <w:b/>
          <w:bCs/>
          <w:color w:val="000000"/>
          <w:szCs w:val="28"/>
        </w:rPr>
      </w:pPr>
      <w:r w:rsidRPr="00603C29">
        <w:rPr>
          <w:b/>
          <w:bCs/>
          <w:color w:val="000000"/>
          <w:szCs w:val="28"/>
        </w:rPr>
        <w:t>7.2.2. Выбор источника света и осветительного прибора</w:t>
      </w:r>
    </w:p>
    <w:p w:rsidR="00E57A04" w:rsidRPr="00603C29" w:rsidRDefault="00E57A04" w:rsidP="00E57A04">
      <w:pPr>
        <w:jc w:val="both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Задание: описать подробно этот раздел</w:t>
      </w:r>
    </w:p>
    <w:p w:rsidR="00E57A04" w:rsidRPr="00603C29" w:rsidRDefault="00E57A04" w:rsidP="00E57A04">
      <w:pPr>
        <w:ind w:firstLine="851"/>
        <w:jc w:val="both"/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 xml:space="preserve">Выбор светильников должен определяться следующими основными условиями:- характер окружающей среды;- требования к </w:t>
      </w:r>
      <w:proofErr w:type="spellStart"/>
      <w:r w:rsidRPr="00603C29">
        <w:rPr>
          <w:color w:val="000000"/>
          <w:szCs w:val="28"/>
          <w:shd w:val="clear" w:color="auto" w:fill="FFFFFF"/>
        </w:rPr>
        <w:t>светораспределению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и ограничению слепящего действия;- соображениями экономики. Условия среды освещаемого помещения определяют конструктивное исполнение светильника. </w:t>
      </w:r>
      <w:proofErr w:type="spellStart"/>
      <w:r w:rsidRPr="00603C29">
        <w:rPr>
          <w:color w:val="000000"/>
          <w:szCs w:val="28"/>
          <w:shd w:val="clear" w:color="auto" w:fill="FFFFFF"/>
        </w:rPr>
        <w:t>Светораспределение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светильника является основной характеристикой, определяющей светотехническую эффективность применения светильника в заданных условиях. Для высоких помещений h=6-18 м могут быть использованы лампы ДРЛ мощностью 400-700 Вт. С учетом рекомендаций для цеха металлоконструкций по [3] выбираем полностью защищенные светильники</w:t>
      </w:r>
      <w:proofErr w:type="gramStart"/>
      <w:r w:rsidRPr="00603C29">
        <w:rPr>
          <w:color w:val="000000"/>
          <w:szCs w:val="28"/>
          <w:shd w:val="clear" w:color="auto" w:fill="FFFFFF"/>
        </w:rPr>
        <w:t>:Р</w:t>
      </w:r>
      <w:proofErr w:type="gramEnd"/>
      <w:r w:rsidRPr="00603C29">
        <w:rPr>
          <w:color w:val="000000"/>
          <w:szCs w:val="28"/>
          <w:shd w:val="clear" w:color="auto" w:fill="FFFFFF"/>
        </w:rPr>
        <w:t xml:space="preserve">СП05-0.02, где (Р- разрядные лампы, С- подвесной, П- для промышленных предприятий, 05- серия). Применим в данном светильнике дуговую ртутную лампу ДРЛ-400, тип кривой </w:t>
      </w:r>
      <w:proofErr w:type="gramStart"/>
      <w:r w:rsidRPr="00603C29">
        <w:rPr>
          <w:color w:val="000000"/>
          <w:szCs w:val="28"/>
          <w:shd w:val="clear" w:color="auto" w:fill="FFFFFF"/>
        </w:rPr>
        <w:t>Г-</w:t>
      </w:r>
      <w:proofErr w:type="gramEnd"/>
      <w:r w:rsidRPr="00603C29">
        <w:rPr>
          <w:color w:val="000000"/>
          <w:szCs w:val="28"/>
          <w:shd w:val="clear" w:color="auto" w:fill="FFFFFF"/>
        </w:rPr>
        <w:t xml:space="preserve"> глубокая, КПД- 75%, тип ПРА 1И400Н37-001, РСП05-0.02, применим в данном светильнике дуговую ртутную лампу ДРЛ-700, тип кривой Д- косинусная, КПД-70%, тип ПРА 1ДБИ-700ДРЛ.</w:t>
      </w:r>
    </w:p>
    <w:p w:rsidR="00F25926" w:rsidRDefault="00F25926"/>
    <w:sectPr w:rsidR="00F25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57A04"/>
    <w:rsid w:val="00E57A04"/>
    <w:rsid w:val="00F25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2016-09-28T02:57:00Z</dcterms:created>
  <dcterms:modified xsi:type="dcterms:W3CDTF">2016-09-28T02:58:00Z</dcterms:modified>
</cp:coreProperties>
</file>